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4A" w:rsidRDefault="00986A4A" w:rsidP="00986A4A">
      <w:pPr>
        <w:pStyle w:val="Titolo2"/>
        <w:jc w:val="center"/>
      </w:pPr>
    </w:p>
    <w:p w:rsidR="00986A4A" w:rsidRPr="0034252E" w:rsidRDefault="00986A4A" w:rsidP="00986A4A">
      <w:pPr>
        <w:pStyle w:val="Titolo2"/>
        <w:jc w:val="center"/>
        <w:rPr>
          <w:rFonts w:ascii="Times" w:hAnsi="Times"/>
          <w:sz w:val="22"/>
          <w:szCs w:val="22"/>
        </w:rPr>
      </w:pPr>
      <w:r w:rsidRPr="0034252E">
        <w:rPr>
          <w:rFonts w:ascii="Times" w:hAnsi="Times"/>
          <w:sz w:val="22"/>
          <w:szCs w:val="22"/>
        </w:rPr>
        <w:t xml:space="preserve">COMUNICAZIONE INFORMATIVA SUGLI OBBLIGHI </w:t>
      </w:r>
      <w:proofErr w:type="spellStart"/>
      <w:r w:rsidRPr="0034252E">
        <w:rPr>
          <w:rFonts w:ascii="Times" w:hAnsi="Times"/>
          <w:sz w:val="22"/>
          <w:szCs w:val="22"/>
        </w:rPr>
        <w:t>DI</w:t>
      </w:r>
      <w:proofErr w:type="spellEnd"/>
      <w:r w:rsidRPr="0034252E">
        <w:rPr>
          <w:rFonts w:ascii="Times" w:hAnsi="Times"/>
          <w:sz w:val="22"/>
          <w:szCs w:val="22"/>
        </w:rPr>
        <w:t xml:space="preserve"> COMPORTAMENTO </w:t>
      </w:r>
      <w:r w:rsidR="000031C4">
        <w:rPr>
          <w:rFonts w:ascii="Times" w:hAnsi="Times"/>
          <w:sz w:val="22"/>
          <w:szCs w:val="22"/>
        </w:rPr>
        <w:t>DEL DISTRIBUTORE</w:t>
      </w:r>
    </w:p>
    <w:p w:rsidR="00986A4A" w:rsidRDefault="00986A4A" w:rsidP="00986A4A">
      <w:pPr>
        <w:pStyle w:val="Corpodeltesto"/>
        <w:spacing w:before="240"/>
        <w:rPr>
          <w:rFonts w:ascii="Times" w:hAnsi="Times"/>
          <w:sz w:val="22"/>
          <w:szCs w:val="22"/>
        </w:rPr>
      </w:pPr>
      <w:r w:rsidRPr="0034252E">
        <w:rPr>
          <w:rFonts w:ascii="Times" w:hAnsi="Times"/>
          <w:sz w:val="22"/>
          <w:szCs w:val="22"/>
        </w:rPr>
        <w:t>Ai sensi delle disposizioni del Codice dell</w:t>
      </w:r>
      <w:r>
        <w:rPr>
          <w:rFonts w:ascii="Times" w:hAnsi="Times"/>
          <w:sz w:val="22"/>
          <w:szCs w:val="22"/>
        </w:rPr>
        <w:t>e Assicurazioni Private (“Codice”) e del R</w:t>
      </w:r>
      <w:r w:rsidRPr="0034252E">
        <w:rPr>
          <w:rFonts w:ascii="Times" w:hAnsi="Times"/>
          <w:sz w:val="22"/>
          <w:szCs w:val="22"/>
        </w:rPr>
        <w:t xml:space="preserve">egolamento </w:t>
      </w:r>
      <w:r>
        <w:rPr>
          <w:rFonts w:ascii="Times" w:hAnsi="Times"/>
          <w:sz w:val="22"/>
          <w:szCs w:val="22"/>
        </w:rPr>
        <w:t>IVASS n. 40 del 2 agosto 2018</w:t>
      </w:r>
      <w:r w:rsidRPr="0034252E">
        <w:rPr>
          <w:rFonts w:ascii="Times" w:hAnsi="Times"/>
          <w:sz w:val="22"/>
          <w:szCs w:val="22"/>
        </w:rPr>
        <w:t xml:space="preserve"> </w:t>
      </w:r>
      <w:r w:rsidR="00232372">
        <w:rPr>
          <w:rFonts w:ascii="Times" w:hAnsi="Times"/>
          <w:sz w:val="22"/>
          <w:szCs w:val="22"/>
        </w:rPr>
        <w:t xml:space="preserve">(così come modificato dal Provvedimento </w:t>
      </w:r>
      <w:proofErr w:type="spellStart"/>
      <w:r w:rsidR="00232372">
        <w:rPr>
          <w:rFonts w:ascii="Times" w:hAnsi="Times"/>
          <w:sz w:val="22"/>
          <w:szCs w:val="22"/>
        </w:rPr>
        <w:t>Ivass</w:t>
      </w:r>
      <w:proofErr w:type="spellEnd"/>
      <w:r w:rsidR="00232372">
        <w:rPr>
          <w:rFonts w:ascii="Times" w:hAnsi="Times"/>
          <w:sz w:val="22"/>
          <w:szCs w:val="22"/>
        </w:rPr>
        <w:t xml:space="preserve"> 97/2020) </w:t>
      </w:r>
      <w:r w:rsidRPr="0034252E">
        <w:rPr>
          <w:rFonts w:ascii="Times" w:hAnsi="Times"/>
          <w:sz w:val="22"/>
          <w:szCs w:val="22"/>
        </w:rPr>
        <w:t>in tema di</w:t>
      </w:r>
      <w:r>
        <w:rPr>
          <w:rFonts w:ascii="Times" w:hAnsi="Times"/>
          <w:sz w:val="22"/>
          <w:szCs w:val="22"/>
        </w:rPr>
        <w:t xml:space="preserve"> regole generali di comportamento che devono essere osservate nell’esercizio dell’attività, </w:t>
      </w:r>
      <w:r w:rsidR="000031C4">
        <w:rPr>
          <w:rFonts w:ascii="Times" w:hAnsi="Times"/>
          <w:sz w:val="22"/>
          <w:szCs w:val="22"/>
        </w:rPr>
        <w:t>il distributore</w:t>
      </w:r>
      <w:r w:rsidRPr="0034252E">
        <w:rPr>
          <w:rFonts w:ascii="Times" w:hAnsi="Times"/>
          <w:sz w:val="22"/>
          <w:szCs w:val="22"/>
        </w:rPr>
        <w:t>:</w:t>
      </w:r>
    </w:p>
    <w:p w:rsidR="004F5251" w:rsidRDefault="000031C4" w:rsidP="00986A4A">
      <w:pPr>
        <w:pStyle w:val="Corpodeltesto"/>
        <w:spacing w:before="240"/>
        <w:rPr>
          <w:rFonts w:ascii="Times" w:hAnsi="Times"/>
          <w:sz w:val="22"/>
          <w:szCs w:val="22"/>
        </w:rPr>
      </w:pPr>
      <w:r w:rsidRPr="00E62E8E">
        <w:rPr>
          <w:rFonts w:ascii="Times" w:hAnsi="Times"/>
          <w:sz w:val="22"/>
          <w:szCs w:val="22"/>
        </w:rPr>
        <w:t>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r w:rsidR="009830A1">
        <w:rPr>
          <w:rFonts w:ascii="Times" w:hAnsi="Times"/>
          <w:sz w:val="22"/>
          <w:szCs w:val="22"/>
        </w:rPr>
        <w:t>.</w:t>
      </w:r>
    </w:p>
    <w:p w:rsidR="009830A1" w:rsidRDefault="009830A1" w:rsidP="00986A4A">
      <w:pPr>
        <w:pStyle w:val="Corpodeltesto"/>
        <w:spacing w:before="240"/>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3385"/>
        <w:gridCol w:w="1321"/>
        <w:gridCol w:w="2081"/>
      </w:tblGrid>
      <w:tr w:rsidR="009830A1" w:rsidRPr="00E549E6" w:rsidTr="001144A5">
        <w:tc>
          <w:tcPr>
            <w:tcW w:w="7771" w:type="dxa"/>
            <w:gridSpan w:val="3"/>
            <w:shd w:val="pct20" w:color="auto" w:fill="auto"/>
            <w:vAlign w:val="center"/>
          </w:tcPr>
          <w:p w:rsidR="009830A1" w:rsidRPr="00E549E6" w:rsidRDefault="009830A1" w:rsidP="001144A5">
            <w:pPr>
              <w:jc w:val="center"/>
              <w:rPr>
                <w:rFonts w:ascii="Arial" w:hAnsi="Arial" w:cs="Arial"/>
                <w:b/>
                <w:color w:val="000000"/>
                <w:sz w:val="16"/>
                <w:szCs w:val="16"/>
              </w:rPr>
            </w:pPr>
          </w:p>
        </w:tc>
        <w:tc>
          <w:tcPr>
            <w:tcW w:w="2082" w:type="dxa"/>
            <w:vMerge w:val="restart"/>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Gli estremi identificativi e di iscrizione dell’intermediario possono essere controllati visionando il registro unico degli intermediari assicurativi e riassicurativi sul sito internet dell’IVASS</w:t>
            </w:r>
          </w:p>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(www.ivass.it)</w:t>
            </w:r>
          </w:p>
        </w:tc>
      </w:tr>
      <w:tr w:rsidR="009830A1" w:rsidRPr="00E549E6" w:rsidTr="001144A5">
        <w:tc>
          <w:tcPr>
            <w:tcW w:w="3063" w:type="dxa"/>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color w:val="000000"/>
                <w:sz w:val="16"/>
                <w:szCs w:val="16"/>
              </w:rPr>
              <w:t>Ragione sociale</w:t>
            </w:r>
          </w:p>
        </w:tc>
        <w:tc>
          <w:tcPr>
            <w:tcW w:w="4708" w:type="dxa"/>
            <w:gridSpan w:val="2"/>
            <w:vAlign w:val="center"/>
          </w:tcPr>
          <w:p w:rsidR="009830A1" w:rsidRPr="00E549E6" w:rsidRDefault="009830A1" w:rsidP="001144A5">
            <w:pPr>
              <w:jc w:val="center"/>
              <w:rPr>
                <w:rFonts w:ascii="Arial" w:hAnsi="Arial" w:cs="Arial"/>
                <w:b/>
                <w:color w:val="000000"/>
                <w:sz w:val="16"/>
                <w:szCs w:val="16"/>
                <w:lang w:val="en-US"/>
              </w:rPr>
            </w:pPr>
            <w:r w:rsidRPr="00E549E6">
              <w:rPr>
                <w:rFonts w:ascii="Arial" w:hAnsi="Arial" w:cs="Arial"/>
                <w:b/>
                <w:color w:val="000000"/>
                <w:sz w:val="16"/>
                <w:szCs w:val="16"/>
                <w:lang w:val="en-US"/>
              </w:rPr>
              <w:t>AssiDelta Broker S.r.l.</w:t>
            </w:r>
          </w:p>
        </w:tc>
        <w:tc>
          <w:tcPr>
            <w:tcW w:w="2082" w:type="dxa"/>
            <w:vMerge/>
            <w:vAlign w:val="center"/>
          </w:tcPr>
          <w:p w:rsidR="009830A1" w:rsidRPr="00E549E6" w:rsidRDefault="009830A1" w:rsidP="001144A5">
            <w:pPr>
              <w:jc w:val="center"/>
              <w:rPr>
                <w:rFonts w:ascii="Arial" w:hAnsi="Arial" w:cs="Arial"/>
                <w:b/>
                <w:color w:val="000000"/>
                <w:sz w:val="16"/>
                <w:szCs w:val="16"/>
                <w:lang w:val="en-US"/>
              </w:rPr>
            </w:pPr>
          </w:p>
        </w:tc>
      </w:tr>
      <w:tr w:rsidR="009830A1" w:rsidRPr="00E549E6" w:rsidTr="001144A5">
        <w:tc>
          <w:tcPr>
            <w:tcW w:w="3063" w:type="dxa"/>
            <w:vAlign w:val="center"/>
          </w:tcPr>
          <w:p w:rsidR="009830A1" w:rsidRPr="00E549E6" w:rsidRDefault="009830A1" w:rsidP="001144A5">
            <w:pPr>
              <w:jc w:val="center"/>
              <w:rPr>
                <w:rFonts w:ascii="Arial" w:hAnsi="Arial" w:cs="Arial"/>
                <w:b/>
                <w:color w:val="000000"/>
                <w:sz w:val="16"/>
                <w:szCs w:val="16"/>
                <w:lang w:val="en-US"/>
              </w:rPr>
            </w:pPr>
            <w:r w:rsidRPr="00E549E6">
              <w:rPr>
                <w:rFonts w:ascii="Arial" w:hAnsi="Arial" w:cs="Arial"/>
                <w:color w:val="000000"/>
                <w:sz w:val="16"/>
                <w:szCs w:val="16"/>
              </w:rPr>
              <w:t>Sede legale ed operativa</w:t>
            </w:r>
          </w:p>
        </w:tc>
        <w:tc>
          <w:tcPr>
            <w:tcW w:w="4708" w:type="dxa"/>
            <w:gridSpan w:val="2"/>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 xml:space="preserve">Via Nuova </w:t>
            </w:r>
            <w:proofErr w:type="spellStart"/>
            <w:r w:rsidRPr="00E549E6">
              <w:rPr>
                <w:rFonts w:ascii="Arial" w:hAnsi="Arial" w:cs="Arial"/>
                <w:b/>
                <w:color w:val="000000"/>
                <w:sz w:val="16"/>
                <w:szCs w:val="16"/>
              </w:rPr>
              <w:t>Poggioreale</w:t>
            </w:r>
            <w:proofErr w:type="spellEnd"/>
            <w:r w:rsidRPr="00E549E6">
              <w:rPr>
                <w:rFonts w:ascii="Arial" w:hAnsi="Arial" w:cs="Arial"/>
                <w:b/>
                <w:color w:val="000000"/>
                <w:sz w:val="16"/>
                <w:szCs w:val="16"/>
              </w:rPr>
              <w:t xml:space="preserve">, </w:t>
            </w:r>
            <w:r>
              <w:rPr>
                <w:rFonts w:ascii="Arial" w:hAnsi="Arial" w:cs="Arial"/>
                <w:b/>
                <w:color w:val="000000"/>
                <w:sz w:val="16"/>
                <w:szCs w:val="16"/>
              </w:rPr>
              <w:t>60</w:t>
            </w:r>
            <w:r w:rsidRPr="00E549E6">
              <w:rPr>
                <w:rFonts w:ascii="Arial" w:hAnsi="Arial" w:cs="Arial"/>
                <w:b/>
                <w:color w:val="000000"/>
                <w:sz w:val="16"/>
                <w:szCs w:val="16"/>
              </w:rPr>
              <w:t xml:space="preserve"> – Centro Polifunzionale INAIL – Torre 7 – 4° Piano – 80143 Napoli</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color w:val="000000"/>
                <w:sz w:val="16"/>
                <w:szCs w:val="16"/>
              </w:rPr>
              <w:t>Telefono</w:t>
            </w:r>
          </w:p>
        </w:tc>
        <w:tc>
          <w:tcPr>
            <w:tcW w:w="4708" w:type="dxa"/>
            <w:gridSpan w:val="2"/>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081/7871267</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color w:val="000000"/>
                <w:sz w:val="16"/>
                <w:szCs w:val="16"/>
              </w:rPr>
            </w:pPr>
          </w:p>
        </w:tc>
        <w:tc>
          <w:tcPr>
            <w:tcW w:w="4708" w:type="dxa"/>
            <w:gridSpan w:val="2"/>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081/7871714</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color w:val="000000"/>
                <w:sz w:val="16"/>
                <w:szCs w:val="16"/>
              </w:rPr>
            </w:pPr>
            <w:r w:rsidRPr="00E549E6">
              <w:rPr>
                <w:rFonts w:ascii="Arial" w:hAnsi="Arial" w:cs="Arial"/>
                <w:color w:val="000000"/>
                <w:sz w:val="16"/>
                <w:szCs w:val="16"/>
              </w:rPr>
              <w:t>Posta elettronica/PEC</w:t>
            </w:r>
          </w:p>
        </w:tc>
        <w:tc>
          <w:tcPr>
            <w:tcW w:w="4708" w:type="dxa"/>
            <w:gridSpan w:val="2"/>
            <w:vAlign w:val="center"/>
          </w:tcPr>
          <w:p w:rsidR="009830A1" w:rsidRDefault="009830A1" w:rsidP="001144A5">
            <w:pPr>
              <w:pStyle w:val="Nessunaspaziatura"/>
              <w:jc w:val="center"/>
            </w:pPr>
            <w:hyperlink r:id="rId8" w:history="1">
              <w:r w:rsidRPr="00E549E6">
                <w:rPr>
                  <w:rStyle w:val="Collegamentoipertestuale"/>
                  <w:rFonts w:ascii="Arial" w:hAnsi="Arial" w:cs="Arial"/>
                  <w:b/>
                  <w:sz w:val="16"/>
                  <w:szCs w:val="16"/>
                </w:rPr>
                <w:t>info@assideltabroker.com</w:t>
              </w:r>
            </w:hyperlink>
            <w:r>
              <w:t xml:space="preserve"> / </w:t>
            </w:r>
            <w:hyperlink r:id="rId9" w:history="1">
              <w:r w:rsidRPr="00E549E6">
                <w:rPr>
                  <w:rStyle w:val="Collegamentoipertestuale"/>
                  <w:rFonts w:ascii="Arial" w:hAnsi="Arial" w:cs="Arial"/>
                  <w:b/>
                  <w:sz w:val="16"/>
                  <w:szCs w:val="16"/>
                </w:rPr>
                <w:t>assideltabroker@pec.it</w:t>
              </w:r>
            </w:hyperlink>
          </w:p>
          <w:p w:rsidR="009830A1" w:rsidRPr="00E549E6" w:rsidRDefault="009830A1" w:rsidP="001144A5">
            <w:pPr>
              <w:jc w:val="center"/>
              <w:rPr>
                <w:rFonts w:ascii="Arial" w:hAnsi="Arial" w:cs="Arial"/>
                <w:b/>
                <w:color w:val="000000"/>
                <w:sz w:val="16"/>
                <w:szCs w:val="16"/>
              </w:rPr>
            </w:pP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color w:val="000000"/>
                <w:sz w:val="16"/>
                <w:szCs w:val="16"/>
              </w:rPr>
            </w:pPr>
            <w:r w:rsidRPr="00E549E6">
              <w:rPr>
                <w:rFonts w:ascii="Arial" w:hAnsi="Arial" w:cs="Arial"/>
                <w:color w:val="000000"/>
                <w:sz w:val="16"/>
                <w:szCs w:val="16"/>
              </w:rPr>
              <w:t>Sito Internet</w:t>
            </w:r>
          </w:p>
        </w:tc>
        <w:tc>
          <w:tcPr>
            <w:tcW w:w="4708" w:type="dxa"/>
            <w:gridSpan w:val="2"/>
            <w:vAlign w:val="center"/>
          </w:tcPr>
          <w:p w:rsidR="009830A1" w:rsidRPr="00E549E6" w:rsidRDefault="009830A1" w:rsidP="001144A5">
            <w:pPr>
              <w:jc w:val="center"/>
              <w:rPr>
                <w:rFonts w:ascii="Arial" w:hAnsi="Arial" w:cs="Arial"/>
                <w:b/>
                <w:color w:val="000000"/>
                <w:sz w:val="16"/>
                <w:szCs w:val="16"/>
              </w:rPr>
            </w:pPr>
            <w:hyperlink r:id="rId10" w:history="1">
              <w:r w:rsidRPr="00E549E6">
                <w:rPr>
                  <w:rStyle w:val="Collegamentoipertestuale"/>
                  <w:rFonts w:ascii="Arial" w:hAnsi="Arial" w:cs="Arial"/>
                  <w:b/>
                  <w:sz w:val="16"/>
                  <w:szCs w:val="16"/>
                </w:rPr>
                <w:t>www.assideltabroker.com</w:t>
              </w:r>
            </w:hyperlink>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7771" w:type="dxa"/>
            <w:gridSpan w:val="3"/>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color w:val="000000"/>
                <w:sz w:val="16"/>
                <w:szCs w:val="16"/>
              </w:rPr>
              <w:t>Iscrizione al registro degli intermediari assicurativi</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color w:val="000000"/>
                <w:sz w:val="16"/>
                <w:szCs w:val="16"/>
              </w:rPr>
            </w:pPr>
            <w:r w:rsidRPr="00E549E6">
              <w:rPr>
                <w:rFonts w:ascii="Arial" w:hAnsi="Arial" w:cs="Arial"/>
                <w:color w:val="000000"/>
                <w:sz w:val="16"/>
                <w:szCs w:val="16"/>
              </w:rPr>
              <w:t>numero</w:t>
            </w:r>
          </w:p>
        </w:tc>
        <w:tc>
          <w:tcPr>
            <w:tcW w:w="3387" w:type="dxa"/>
            <w:vAlign w:val="center"/>
          </w:tcPr>
          <w:p w:rsidR="009830A1" w:rsidRPr="00E549E6" w:rsidRDefault="009830A1" w:rsidP="001144A5">
            <w:pPr>
              <w:jc w:val="center"/>
              <w:rPr>
                <w:rFonts w:ascii="Arial" w:hAnsi="Arial" w:cs="Arial"/>
                <w:color w:val="000000"/>
                <w:sz w:val="16"/>
                <w:szCs w:val="16"/>
              </w:rPr>
            </w:pPr>
            <w:r w:rsidRPr="00E549E6">
              <w:rPr>
                <w:rFonts w:ascii="Arial" w:hAnsi="Arial" w:cs="Arial"/>
                <w:color w:val="000000"/>
                <w:sz w:val="16"/>
                <w:szCs w:val="16"/>
              </w:rPr>
              <w:t>data</w:t>
            </w:r>
          </w:p>
        </w:tc>
        <w:tc>
          <w:tcPr>
            <w:tcW w:w="1321" w:type="dxa"/>
            <w:vAlign w:val="center"/>
          </w:tcPr>
          <w:p w:rsidR="009830A1" w:rsidRPr="00E549E6" w:rsidRDefault="009830A1" w:rsidP="001144A5">
            <w:pPr>
              <w:jc w:val="center"/>
              <w:rPr>
                <w:rFonts w:ascii="Arial" w:hAnsi="Arial" w:cs="Arial"/>
                <w:color w:val="000000"/>
                <w:sz w:val="16"/>
                <w:szCs w:val="16"/>
              </w:rPr>
            </w:pPr>
            <w:r w:rsidRPr="00E549E6">
              <w:rPr>
                <w:rFonts w:ascii="Arial" w:hAnsi="Arial" w:cs="Arial"/>
                <w:color w:val="000000"/>
                <w:sz w:val="16"/>
                <w:szCs w:val="16"/>
              </w:rPr>
              <w:t>sezione</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3063" w:type="dxa"/>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bCs/>
                <w:color w:val="000000"/>
                <w:sz w:val="18"/>
                <w:szCs w:val="18"/>
              </w:rPr>
              <w:t>000062047</w:t>
            </w:r>
          </w:p>
        </w:tc>
        <w:tc>
          <w:tcPr>
            <w:tcW w:w="3387" w:type="dxa"/>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26 Febbraio 2007</w:t>
            </w:r>
          </w:p>
        </w:tc>
        <w:tc>
          <w:tcPr>
            <w:tcW w:w="1321" w:type="dxa"/>
            <w:vAlign w:val="center"/>
          </w:tcPr>
          <w:p w:rsidR="009830A1" w:rsidRPr="00E549E6" w:rsidRDefault="009830A1" w:rsidP="001144A5">
            <w:pPr>
              <w:jc w:val="center"/>
              <w:rPr>
                <w:rFonts w:ascii="Arial" w:hAnsi="Arial" w:cs="Arial"/>
                <w:b/>
                <w:color w:val="000000"/>
                <w:sz w:val="16"/>
                <w:szCs w:val="16"/>
              </w:rPr>
            </w:pPr>
            <w:r w:rsidRPr="00E549E6">
              <w:rPr>
                <w:rFonts w:ascii="Arial" w:hAnsi="Arial" w:cs="Arial"/>
                <w:b/>
                <w:color w:val="000000"/>
                <w:sz w:val="16"/>
                <w:szCs w:val="16"/>
              </w:rPr>
              <w:t>B</w:t>
            </w:r>
          </w:p>
        </w:tc>
        <w:tc>
          <w:tcPr>
            <w:tcW w:w="2082" w:type="dxa"/>
            <w:vMerge/>
            <w:vAlign w:val="center"/>
          </w:tcPr>
          <w:p w:rsidR="009830A1" w:rsidRPr="00E549E6" w:rsidRDefault="009830A1" w:rsidP="001144A5">
            <w:pPr>
              <w:jc w:val="center"/>
              <w:rPr>
                <w:rFonts w:ascii="Arial" w:hAnsi="Arial" w:cs="Arial"/>
                <w:b/>
                <w:color w:val="000000"/>
                <w:sz w:val="16"/>
                <w:szCs w:val="16"/>
              </w:rPr>
            </w:pPr>
          </w:p>
        </w:tc>
      </w:tr>
      <w:tr w:rsidR="009830A1" w:rsidRPr="00E549E6" w:rsidTr="001144A5">
        <w:tc>
          <w:tcPr>
            <w:tcW w:w="9853" w:type="dxa"/>
            <w:gridSpan w:val="4"/>
          </w:tcPr>
          <w:p w:rsidR="009830A1" w:rsidRPr="00E549E6" w:rsidRDefault="009830A1" w:rsidP="001144A5">
            <w:pPr>
              <w:ind w:left="360"/>
              <w:jc w:val="center"/>
              <w:rPr>
                <w:rFonts w:ascii="Arial" w:hAnsi="Arial" w:cs="Arial"/>
                <w:b/>
                <w:color w:val="000000"/>
                <w:sz w:val="16"/>
                <w:szCs w:val="16"/>
              </w:rPr>
            </w:pPr>
            <w:r w:rsidRPr="00E549E6">
              <w:rPr>
                <w:rFonts w:ascii="Arial" w:hAnsi="Arial" w:cs="Arial"/>
                <w:b/>
                <w:color w:val="000000"/>
                <w:sz w:val="16"/>
                <w:szCs w:val="16"/>
              </w:rPr>
              <w:t>Autorità competente alla vigilanza sull’attività svolta</w:t>
            </w:r>
          </w:p>
        </w:tc>
      </w:tr>
      <w:tr w:rsidR="009830A1" w:rsidRPr="00E549E6" w:rsidTr="001144A5">
        <w:tc>
          <w:tcPr>
            <w:tcW w:w="9853" w:type="dxa"/>
            <w:gridSpan w:val="4"/>
          </w:tcPr>
          <w:p w:rsidR="009830A1" w:rsidRPr="00E549E6" w:rsidRDefault="009830A1" w:rsidP="001144A5">
            <w:pPr>
              <w:jc w:val="center"/>
              <w:rPr>
                <w:rFonts w:ascii="Arial" w:hAnsi="Arial" w:cs="Arial"/>
                <w:color w:val="000000"/>
                <w:sz w:val="16"/>
                <w:szCs w:val="16"/>
              </w:rPr>
            </w:pPr>
            <w:r w:rsidRPr="00E549E6">
              <w:rPr>
                <w:rFonts w:ascii="Arial" w:hAnsi="Arial" w:cs="Arial"/>
                <w:b/>
                <w:color w:val="000000"/>
                <w:sz w:val="16"/>
                <w:szCs w:val="16"/>
              </w:rPr>
              <w:t>IVASS</w:t>
            </w:r>
            <w:r w:rsidRPr="00E549E6">
              <w:rPr>
                <w:rFonts w:ascii="Arial" w:hAnsi="Arial" w:cs="Arial"/>
                <w:color w:val="000000"/>
                <w:sz w:val="16"/>
                <w:szCs w:val="16"/>
              </w:rPr>
              <w:t xml:space="preserve"> – Istituto per la vigilanza sulle assicurazioni private e di interesse collettivo</w:t>
            </w:r>
          </w:p>
          <w:p w:rsidR="009830A1" w:rsidRPr="00E549E6" w:rsidRDefault="009830A1" w:rsidP="001144A5">
            <w:pPr>
              <w:jc w:val="center"/>
              <w:rPr>
                <w:rFonts w:ascii="Arial" w:hAnsi="Arial" w:cs="Arial"/>
                <w:b/>
                <w:color w:val="000000"/>
                <w:sz w:val="16"/>
                <w:szCs w:val="16"/>
              </w:rPr>
            </w:pPr>
            <w:r w:rsidRPr="00E549E6">
              <w:rPr>
                <w:rFonts w:ascii="Arial" w:hAnsi="Arial" w:cs="Arial"/>
                <w:color w:val="000000"/>
                <w:sz w:val="16"/>
                <w:szCs w:val="16"/>
              </w:rPr>
              <w:t>Via del Quirinale, 21 – 00187 - ROMA</w:t>
            </w:r>
          </w:p>
        </w:tc>
      </w:tr>
    </w:tbl>
    <w:p w:rsidR="003F5E4D" w:rsidRPr="00512857" w:rsidRDefault="00512857" w:rsidP="00986A4A">
      <w:pPr>
        <w:pStyle w:val="Corpodeltesto"/>
        <w:spacing w:before="240"/>
        <w:rPr>
          <w:rFonts w:ascii="Times" w:hAnsi="Times"/>
          <w:b/>
          <w:bCs/>
          <w:sz w:val="22"/>
          <w:szCs w:val="22"/>
          <w:u w:val="single"/>
        </w:rPr>
      </w:pPr>
      <w:r>
        <w:rPr>
          <w:rFonts w:ascii="Times" w:hAnsi="Times"/>
          <w:b/>
          <w:bCs/>
          <w:sz w:val="22"/>
          <w:szCs w:val="22"/>
          <w:u w:val="single"/>
        </w:rPr>
        <w:t xml:space="preserve">Sezione I - </w:t>
      </w:r>
      <w:r w:rsidR="003F5E4D" w:rsidRPr="00512857">
        <w:rPr>
          <w:rFonts w:ascii="Times" w:hAnsi="Times"/>
          <w:b/>
          <w:bCs/>
          <w:sz w:val="22"/>
          <w:szCs w:val="22"/>
          <w:u w:val="single"/>
        </w:rPr>
        <w:t>Regole generali per la distribuzione di prodotti assicurativi</w:t>
      </w:r>
    </w:p>
    <w:p w:rsidR="00C86CFF" w:rsidRPr="00C86CFF" w:rsidRDefault="00986A4A" w:rsidP="00C86CFF">
      <w:pPr>
        <w:pStyle w:val="Paragrafoelenco"/>
        <w:numPr>
          <w:ilvl w:val="0"/>
          <w:numId w:val="2"/>
        </w:numPr>
        <w:autoSpaceDE w:val="0"/>
        <w:autoSpaceDN w:val="0"/>
        <w:adjustRightInd w:val="0"/>
        <w:spacing w:before="120"/>
        <w:jc w:val="both"/>
        <w:rPr>
          <w:sz w:val="22"/>
          <w:szCs w:val="22"/>
        </w:rPr>
      </w:pPr>
      <w:r w:rsidRPr="00C86CFF">
        <w:rPr>
          <w:sz w:val="22"/>
          <w:szCs w:val="22"/>
        </w:rPr>
        <w:t xml:space="preserve">prima della sottoscrizione della </w:t>
      </w:r>
      <w:r w:rsidR="000031C4" w:rsidRPr="00C86CFF">
        <w:rPr>
          <w:sz w:val="22"/>
          <w:szCs w:val="22"/>
        </w:rPr>
        <w:t xml:space="preserve">prima </w:t>
      </w:r>
      <w:r w:rsidRPr="00C86CFF">
        <w:rPr>
          <w:sz w:val="22"/>
          <w:szCs w:val="22"/>
        </w:rPr>
        <w:t xml:space="preserve">proposta di assicurazione o, qualora non prevista, del </w:t>
      </w:r>
      <w:r w:rsidR="000031C4" w:rsidRPr="00C86CFF">
        <w:rPr>
          <w:sz w:val="22"/>
          <w:szCs w:val="22"/>
        </w:rPr>
        <w:t>primo contratto di assicurazione</w:t>
      </w:r>
      <w:r w:rsidR="00C86CFF" w:rsidRPr="00C86CFF">
        <w:rPr>
          <w:sz w:val="22"/>
          <w:szCs w:val="22"/>
        </w:rPr>
        <w:t xml:space="preserve"> </w:t>
      </w:r>
      <w:r w:rsidR="006F2DA1" w:rsidRPr="006F2DA1">
        <w:rPr>
          <w:b/>
          <w:sz w:val="22"/>
          <w:szCs w:val="22"/>
        </w:rPr>
        <w:t>AssiDelta Broker</w:t>
      </w:r>
    </w:p>
    <w:p w:rsidR="00986A4A" w:rsidRPr="00C86CFF" w:rsidRDefault="00C86CFF" w:rsidP="00C86CFF">
      <w:pPr>
        <w:autoSpaceDE w:val="0"/>
        <w:autoSpaceDN w:val="0"/>
        <w:adjustRightInd w:val="0"/>
        <w:spacing w:before="120"/>
        <w:jc w:val="both"/>
        <w:rPr>
          <w:sz w:val="22"/>
          <w:szCs w:val="22"/>
        </w:rPr>
      </w:pPr>
      <w:r>
        <w:rPr>
          <w:b/>
          <w:bCs/>
          <w:sz w:val="22"/>
          <w:szCs w:val="22"/>
        </w:rPr>
        <w:t xml:space="preserve">- </w:t>
      </w:r>
      <w:r w:rsidR="00843309">
        <w:rPr>
          <w:b/>
          <w:bCs/>
          <w:sz w:val="22"/>
          <w:szCs w:val="22"/>
        </w:rPr>
        <w:t>consegna</w:t>
      </w:r>
      <w:r w:rsidR="00986A4A" w:rsidRPr="00C86CFF">
        <w:rPr>
          <w:b/>
          <w:bCs/>
          <w:sz w:val="22"/>
          <w:szCs w:val="22"/>
        </w:rPr>
        <w:t>/</w:t>
      </w:r>
      <w:r w:rsidR="00843309">
        <w:rPr>
          <w:b/>
          <w:bCs/>
          <w:sz w:val="22"/>
          <w:szCs w:val="22"/>
        </w:rPr>
        <w:t>mette</w:t>
      </w:r>
      <w:r w:rsidR="000031C4" w:rsidRPr="00C86CFF">
        <w:rPr>
          <w:b/>
          <w:bCs/>
          <w:sz w:val="22"/>
          <w:szCs w:val="22"/>
        </w:rPr>
        <w:t xml:space="preserve"> a disposizione del </w:t>
      </w:r>
      <w:r w:rsidR="00986A4A" w:rsidRPr="00C86CFF">
        <w:rPr>
          <w:b/>
          <w:bCs/>
          <w:sz w:val="22"/>
          <w:szCs w:val="22"/>
        </w:rPr>
        <w:t>contraente</w:t>
      </w:r>
      <w:r w:rsidR="00D67D80">
        <w:rPr>
          <w:sz w:val="22"/>
          <w:szCs w:val="22"/>
        </w:rPr>
        <w:t xml:space="preserve"> copia del documento </w:t>
      </w:r>
      <w:r w:rsidR="00986A4A" w:rsidRPr="00C86CFF">
        <w:rPr>
          <w:sz w:val="22"/>
          <w:szCs w:val="22"/>
        </w:rPr>
        <w:t>che contiene i dati essenziali dell’intermediario stesso e le informazioni sulla sua attività, sulle potenziali situazioni di conflitto di interessi e sulle forme di tutela del contraente</w:t>
      </w:r>
      <w:r w:rsidR="0064292D" w:rsidRPr="0064292D">
        <w:rPr>
          <w:b/>
          <w:sz w:val="22"/>
          <w:szCs w:val="22"/>
        </w:rPr>
        <w:t xml:space="preserve"> </w:t>
      </w:r>
      <w:r w:rsidR="00D67D80">
        <w:rPr>
          <w:b/>
          <w:sz w:val="22"/>
          <w:szCs w:val="22"/>
        </w:rPr>
        <w:t>(</w:t>
      </w:r>
      <w:r w:rsidR="0064292D" w:rsidRPr="00C86CFF">
        <w:rPr>
          <w:b/>
          <w:sz w:val="22"/>
          <w:szCs w:val="22"/>
        </w:rPr>
        <w:t>All.</w:t>
      </w:r>
      <w:r w:rsidR="0064292D" w:rsidRPr="00C86CFF">
        <w:rPr>
          <w:sz w:val="22"/>
          <w:szCs w:val="22"/>
        </w:rPr>
        <w:t xml:space="preserve"> </w:t>
      </w:r>
      <w:r w:rsidR="0064292D" w:rsidRPr="00C86CFF">
        <w:rPr>
          <w:b/>
          <w:sz w:val="22"/>
          <w:szCs w:val="22"/>
        </w:rPr>
        <w:t>3</w:t>
      </w:r>
      <w:r w:rsidR="0064292D" w:rsidRPr="00C86CFF">
        <w:rPr>
          <w:sz w:val="22"/>
          <w:szCs w:val="22"/>
        </w:rPr>
        <w:t xml:space="preserve"> al Regolamento </w:t>
      </w:r>
      <w:proofErr w:type="spellStart"/>
      <w:r w:rsidR="0064292D" w:rsidRPr="00C86CFF">
        <w:rPr>
          <w:sz w:val="22"/>
          <w:szCs w:val="22"/>
        </w:rPr>
        <w:t>Ivass</w:t>
      </w:r>
      <w:proofErr w:type="spellEnd"/>
      <w:r w:rsidR="0064292D" w:rsidRPr="00C86CFF">
        <w:rPr>
          <w:sz w:val="22"/>
          <w:szCs w:val="22"/>
        </w:rPr>
        <w:t xml:space="preserve"> n. 40/2018)</w:t>
      </w:r>
      <w:r w:rsidR="00986A4A" w:rsidRPr="00C86CFF">
        <w:rPr>
          <w:sz w:val="22"/>
          <w:szCs w:val="22"/>
        </w:rPr>
        <w:t>;</w:t>
      </w:r>
    </w:p>
    <w:p w:rsidR="000031C4" w:rsidRDefault="000031C4" w:rsidP="00986A4A">
      <w:pPr>
        <w:autoSpaceDE w:val="0"/>
        <w:autoSpaceDN w:val="0"/>
        <w:adjustRightInd w:val="0"/>
        <w:spacing w:before="120"/>
        <w:jc w:val="both"/>
        <w:rPr>
          <w:sz w:val="22"/>
          <w:szCs w:val="22"/>
        </w:rPr>
      </w:pPr>
      <w:r>
        <w:rPr>
          <w:sz w:val="22"/>
          <w:szCs w:val="22"/>
        </w:rPr>
        <w:t xml:space="preserve">- </w:t>
      </w:r>
      <w:r w:rsidR="00843309">
        <w:rPr>
          <w:b/>
          <w:bCs/>
          <w:sz w:val="22"/>
          <w:szCs w:val="22"/>
        </w:rPr>
        <w:t>consegna</w:t>
      </w:r>
      <w:r>
        <w:rPr>
          <w:sz w:val="22"/>
          <w:szCs w:val="22"/>
        </w:rPr>
        <w:t xml:space="preserve"> copia del documento </w:t>
      </w:r>
      <w:r w:rsidR="002C5D2E">
        <w:rPr>
          <w:sz w:val="22"/>
          <w:szCs w:val="22"/>
        </w:rPr>
        <w:t xml:space="preserve">che </w:t>
      </w:r>
      <w:r w:rsidR="00D67D80">
        <w:rPr>
          <w:sz w:val="22"/>
          <w:szCs w:val="22"/>
        </w:rPr>
        <w:t>c</w:t>
      </w:r>
      <w:r w:rsidR="003F5E4D" w:rsidRPr="003F5E4D">
        <w:rPr>
          <w:sz w:val="22"/>
          <w:szCs w:val="22"/>
        </w:rPr>
        <w:t>ontiene le informazioni sulla distribuzione del prodotto assicurativo non IBIP e più precisamente: dati sul modello di distribuzione (compresa la eventuale collaborazione orizzontale), indicazioni su attività di consulenza, specifiche sulle forme di remunerazione percepite da tutti gli intermediari che intervengono nella distribuzione del contratto proposto, dichiarazione di effetto liberatorio o meno del pagamento del premio.</w:t>
      </w:r>
      <w:r w:rsidR="00D67D80" w:rsidRPr="00D67D80">
        <w:rPr>
          <w:sz w:val="22"/>
          <w:szCs w:val="22"/>
        </w:rPr>
        <w:t xml:space="preserve"> </w:t>
      </w:r>
      <w:r w:rsidR="00D67D80">
        <w:rPr>
          <w:sz w:val="22"/>
          <w:szCs w:val="22"/>
        </w:rPr>
        <w:t>(</w:t>
      </w:r>
      <w:r w:rsidR="00D67D80" w:rsidRPr="003F5E4D">
        <w:rPr>
          <w:b/>
          <w:bCs/>
          <w:sz w:val="22"/>
          <w:szCs w:val="22"/>
        </w:rPr>
        <w:t>All. 4</w:t>
      </w:r>
      <w:r w:rsidR="00D67D80">
        <w:rPr>
          <w:sz w:val="22"/>
          <w:szCs w:val="22"/>
        </w:rPr>
        <w:t xml:space="preserve"> al Regolamento </w:t>
      </w:r>
      <w:proofErr w:type="spellStart"/>
      <w:r w:rsidR="00D67D80">
        <w:rPr>
          <w:sz w:val="22"/>
          <w:szCs w:val="22"/>
        </w:rPr>
        <w:t>Ivass</w:t>
      </w:r>
      <w:proofErr w:type="spellEnd"/>
      <w:r w:rsidR="00D67D80">
        <w:rPr>
          <w:sz w:val="22"/>
          <w:szCs w:val="22"/>
        </w:rPr>
        <w:t xml:space="preserve"> n. 40/2018)</w:t>
      </w:r>
    </w:p>
    <w:p w:rsidR="00512857" w:rsidRDefault="00C86CFF" w:rsidP="00512857">
      <w:pPr>
        <w:autoSpaceDE w:val="0"/>
        <w:autoSpaceDN w:val="0"/>
        <w:adjustRightInd w:val="0"/>
        <w:spacing w:before="120"/>
        <w:jc w:val="both"/>
        <w:rPr>
          <w:sz w:val="22"/>
          <w:szCs w:val="22"/>
        </w:rPr>
      </w:pPr>
      <w:r>
        <w:rPr>
          <w:sz w:val="22"/>
          <w:szCs w:val="22"/>
        </w:rPr>
        <w:t xml:space="preserve">b) </w:t>
      </w:r>
      <w:r w:rsidR="00843309">
        <w:rPr>
          <w:b/>
          <w:bCs/>
          <w:sz w:val="22"/>
          <w:szCs w:val="22"/>
        </w:rPr>
        <w:t>consegna</w:t>
      </w:r>
      <w:r w:rsidR="00512857">
        <w:rPr>
          <w:sz w:val="22"/>
          <w:szCs w:val="22"/>
        </w:rPr>
        <w:t xml:space="preserve"> copia della </w:t>
      </w:r>
      <w:r w:rsidR="00512857" w:rsidRPr="00C86CFF">
        <w:rPr>
          <w:b/>
          <w:bCs/>
          <w:sz w:val="22"/>
          <w:szCs w:val="22"/>
        </w:rPr>
        <w:t>documentazione precontrattuale</w:t>
      </w:r>
      <w:r w:rsidR="00512857">
        <w:rPr>
          <w:sz w:val="22"/>
          <w:szCs w:val="22"/>
        </w:rPr>
        <w:t xml:space="preserve"> e </w:t>
      </w:r>
      <w:r w:rsidR="00512857" w:rsidRPr="00C86CFF">
        <w:rPr>
          <w:b/>
          <w:bCs/>
          <w:sz w:val="22"/>
          <w:szCs w:val="22"/>
        </w:rPr>
        <w:t>contrattuale</w:t>
      </w:r>
      <w:r w:rsidR="00D67D80">
        <w:rPr>
          <w:sz w:val="22"/>
          <w:szCs w:val="22"/>
        </w:rPr>
        <w:t xml:space="preserve"> prevista dalle </w:t>
      </w:r>
      <w:r w:rsidR="00512857">
        <w:rPr>
          <w:sz w:val="22"/>
          <w:szCs w:val="22"/>
        </w:rPr>
        <w:t xml:space="preserve">vigenti disposizioni, copia della </w:t>
      </w:r>
      <w:r w:rsidR="00512857" w:rsidRPr="00C86CFF">
        <w:rPr>
          <w:b/>
          <w:bCs/>
          <w:sz w:val="22"/>
          <w:szCs w:val="22"/>
        </w:rPr>
        <w:t>polizza</w:t>
      </w:r>
      <w:r w:rsidR="00512857">
        <w:rPr>
          <w:sz w:val="22"/>
          <w:szCs w:val="22"/>
        </w:rPr>
        <w:t xml:space="preserve"> e di ogni altro atto o documento sottoscritto dal contraente.</w:t>
      </w:r>
    </w:p>
    <w:p w:rsidR="00512857" w:rsidRDefault="00C86CFF" w:rsidP="00512857">
      <w:pPr>
        <w:autoSpaceDE w:val="0"/>
        <w:autoSpaceDN w:val="0"/>
        <w:adjustRightInd w:val="0"/>
        <w:spacing w:before="120"/>
        <w:jc w:val="both"/>
        <w:rPr>
          <w:sz w:val="22"/>
          <w:szCs w:val="22"/>
        </w:rPr>
      </w:pPr>
      <w:r>
        <w:rPr>
          <w:sz w:val="22"/>
          <w:szCs w:val="22"/>
        </w:rPr>
        <w:t>c)</w:t>
      </w:r>
      <w:r w:rsidR="00512857">
        <w:rPr>
          <w:sz w:val="22"/>
          <w:szCs w:val="22"/>
        </w:rPr>
        <w:t xml:space="preserve"> </w:t>
      </w:r>
      <w:r w:rsidR="00843309">
        <w:rPr>
          <w:sz w:val="22"/>
          <w:szCs w:val="22"/>
        </w:rPr>
        <w:t>è</w:t>
      </w:r>
      <w:r w:rsidR="00512857">
        <w:rPr>
          <w:sz w:val="22"/>
          <w:szCs w:val="22"/>
        </w:rPr>
        <w:t xml:space="preserve"> tenut</w:t>
      </w:r>
      <w:r w:rsidR="00843309">
        <w:rPr>
          <w:sz w:val="22"/>
          <w:szCs w:val="22"/>
        </w:rPr>
        <w:t>o</w:t>
      </w:r>
      <w:r w:rsidR="00512857">
        <w:rPr>
          <w:sz w:val="22"/>
          <w:szCs w:val="22"/>
        </w:rPr>
        <w:t xml:space="preserve"> a proporre o a raccomandare contratti </w:t>
      </w:r>
      <w:r w:rsidR="00512857" w:rsidRPr="00C86CFF">
        <w:rPr>
          <w:b/>
          <w:bCs/>
          <w:sz w:val="22"/>
          <w:szCs w:val="22"/>
        </w:rPr>
        <w:t>coerenti</w:t>
      </w:r>
      <w:r w:rsidR="00512857">
        <w:rPr>
          <w:sz w:val="22"/>
          <w:szCs w:val="22"/>
        </w:rPr>
        <w:t xml:space="preserve"> con le richieste ed esigenze di copertura assicurativa e previdenziale del contraente o dell’assicurato, acquisendo a tal fine ogni utile informazione</w:t>
      </w:r>
    </w:p>
    <w:p w:rsidR="00512857" w:rsidRDefault="00C86CFF" w:rsidP="00512857">
      <w:pPr>
        <w:autoSpaceDE w:val="0"/>
        <w:autoSpaceDN w:val="0"/>
        <w:adjustRightInd w:val="0"/>
        <w:spacing w:before="120"/>
        <w:jc w:val="both"/>
        <w:rPr>
          <w:sz w:val="22"/>
          <w:szCs w:val="22"/>
        </w:rPr>
      </w:pPr>
      <w:r>
        <w:rPr>
          <w:sz w:val="22"/>
          <w:szCs w:val="22"/>
        </w:rPr>
        <w:t>d)</w:t>
      </w:r>
      <w:r w:rsidR="00512857">
        <w:rPr>
          <w:sz w:val="22"/>
          <w:szCs w:val="22"/>
        </w:rPr>
        <w:t xml:space="preserve"> se il prodotto assicurativo risponde alle richieste ed esigenze, </w:t>
      </w:r>
      <w:r w:rsidR="00843309">
        <w:rPr>
          <w:sz w:val="22"/>
          <w:szCs w:val="22"/>
        </w:rPr>
        <w:t>ha</w:t>
      </w:r>
      <w:r>
        <w:rPr>
          <w:sz w:val="22"/>
          <w:szCs w:val="22"/>
        </w:rPr>
        <w:t xml:space="preserve"> l’</w:t>
      </w:r>
      <w:r w:rsidR="00512857" w:rsidRPr="00C86CFF">
        <w:rPr>
          <w:b/>
          <w:bCs/>
          <w:sz w:val="22"/>
          <w:szCs w:val="22"/>
        </w:rPr>
        <w:t>obbligo di informare il contraente</w:t>
      </w:r>
      <w:r w:rsidR="00512857">
        <w:rPr>
          <w:sz w:val="22"/>
          <w:szCs w:val="22"/>
        </w:rPr>
        <w:t xml:space="preserve"> di tale circostanza, dandone evidenza in un’apposita dichiarazione. In mancanza di tale dichiarazione il prodotto non può essere distribuito.</w:t>
      </w:r>
    </w:p>
    <w:p w:rsidR="00512857" w:rsidRDefault="00C86CFF" w:rsidP="00512857">
      <w:pPr>
        <w:autoSpaceDE w:val="0"/>
        <w:autoSpaceDN w:val="0"/>
        <w:adjustRightInd w:val="0"/>
        <w:spacing w:before="120"/>
        <w:jc w:val="both"/>
        <w:rPr>
          <w:sz w:val="22"/>
          <w:szCs w:val="22"/>
        </w:rPr>
      </w:pPr>
      <w:r>
        <w:rPr>
          <w:sz w:val="22"/>
          <w:szCs w:val="22"/>
        </w:rPr>
        <w:lastRenderedPageBreak/>
        <w:t>e)</w:t>
      </w:r>
      <w:r w:rsidR="00512857">
        <w:rPr>
          <w:sz w:val="22"/>
          <w:szCs w:val="22"/>
        </w:rPr>
        <w:t xml:space="preserve"> </w:t>
      </w:r>
      <w:r w:rsidR="00843309">
        <w:rPr>
          <w:sz w:val="22"/>
          <w:szCs w:val="22"/>
        </w:rPr>
        <w:t>ha</w:t>
      </w:r>
      <w:r w:rsidR="002A1568">
        <w:rPr>
          <w:sz w:val="22"/>
          <w:szCs w:val="22"/>
        </w:rPr>
        <w:t xml:space="preserve"> l’</w:t>
      </w:r>
      <w:r w:rsidR="00512857" w:rsidRPr="00C86CFF">
        <w:rPr>
          <w:b/>
          <w:bCs/>
          <w:sz w:val="22"/>
          <w:szCs w:val="22"/>
        </w:rPr>
        <w:t>obbligo di valutare se il contraente rientra nel mercato di riferimento</w:t>
      </w:r>
      <w:r w:rsidR="00512857">
        <w:rPr>
          <w:sz w:val="22"/>
          <w:szCs w:val="22"/>
        </w:rPr>
        <w:t xml:space="preserve"> identificato per il contratto di assicurazione proposto e non appartiene alle categorie di clienti per i quali il prodotto non è compatibile, nonché l’obbligo di adottare opportune disposizioni per ottenere dai produttori le informazioni di all’art. 30 </w:t>
      </w:r>
      <w:proofErr w:type="spellStart"/>
      <w:r w:rsidR="00512857">
        <w:rPr>
          <w:sz w:val="22"/>
          <w:szCs w:val="22"/>
        </w:rPr>
        <w:t>decies</w:t>
      </w:r>
      <w:proofErr w:type="spellEnd"/>
      <w:r w:rsidR="00512857">
        <w:rPr>
          <w:sz w:val="22"/>
          <w:szCs w:val="22"/>
        </w:rPr>
        <w:t xml:space="preserve"> comma 5 del Codice e per comprendere le caratteristiche e il mercato di riferimento individuato per ciascun prodotto.</w:t>
      </w:r>
    </w:p>
    <w:p w:rsidR="00512857" w:rsidRDefault="00C86CFF" w:rsidP="00986A4A">
      <w:pPr>
        <w:autoSpaceDE w:val="0"/>
        <w:autoSpaceDN w:val="0"/>
        <w:adjustRightInd w:val="0"/>
        <w:spacing w:before="120"/>
        <w:jc w:val="both"/>
        <w:rPr>
          <w:sz w:val="22"/>
          <w:szCs w:val="22"/>
        </w:rPr>
      </w:pPr>
      <w:r>
        <w:rPr>
          <w:sz w:val="22"/>
          <w:szCs w:val="22"/>
        </w:rPr>
        <w:t>f)</w:t>
      </w:r>
      <w:r w:rsidR="00512857">
        <w:rPr>
          <w:sz w:val="22"/>
          <w:szCs w:val="22"/>
        </w:rPr>
        <w:t xml:space="preserve"> </w:t>
      </w:r>
      <w:r w:rsidR="002A1568">
        <w:rPr>
          <w:sz w:val="22"/>
          <w:szCs w:val="22"/>
        </w:rPr>
        <w:t>è</w:t>
      </w:r>
      <w:r>
        <w:rPr>
          <w:sz w:val="22"/>
          <w:szCs w:val="22"/>
        </w:rPr>
        <w:t xml:space="preserve"> </w:t>
      </w:r>
      <w:r w:rsidR="00512857">
        <w:rPr>
          <w:sz w:val="22"/>
          <w:szCs w:val="22"/>
        </w:rPr>
        <w:t>obblig</w:t>
      </w:r>
      <w:r w:rsidR="002A1568">
        <w:rPr>
          <w:sz w:val="22"/>
          <w:szCs w:val="22"/>
        </w:rPr>
        <w:t>ato</w:t>
      </w:r>
      <w:r w:rsidR="00512857">
        <w:rPr>
          <w:sz w:val="22"/>
          <w:szCs w:val="22"/>
        </w:rPr>
        <w:t xml:space="preserve"> </w:t>
      </w:r>
      <w:r>
        <w:rPr>
          <w:sz w:val="22"/>
          <w:szCs w:val="22"/>
        </w:rPr>
        <w:t xml:space="preserve">a </w:t>
      </w:r>
      <w:r w:rsidR="00512857" w:rsidRPr="00C86CFF">
        <w:rPr>
          <w:b/>
          <w:bCs/>
          <w:sz w:val="22"/>
          <w:szCs w:val="22"/>
        </w:rPr>
        <w:t>fornire</w:t>
      </w:r>
      <w:r w:rsidR="00512857">
        <w:rPr>
          <w:sz w:val="22"/>
          <w:szCs w:val="22"/>
        </w:rPr>
        <w:t xml:space="preserve"> in forma chiara e comprensibile le </w:t>
      </w:r>
      <w:r w:rsidR="00512857" w:rsidRPr="00C86CFF">
        <w:rPr>
          <w:b/>
          <w:bCs/>
          <w:sz w:val="22"/>
          <w:szCs w:val="22"/>
        </w:rPr>
        <w:t>informazioni oggettive sul prodotto</w:t>
      </w:r>
      <w:r w:rsidR="00512857">
        <w:rPr>
          <w:sz w:val="22"/>
          <w:szCs w:val="22"/>
        </w:rPr>
        <w:t>, illustrandone le caratteristiche, la durata, i costi e i limiti della copertura ed ogni altro elemento utile a consentire al contraente di prendere un</w:t>
      </w:r>
      <w:r w:rsidR="002A1568">
        <w:rPr>
          <w:sz w:val="22"/>
          <w:szCs w:val="22"/>
        </w:rPr>
        <w:t>a</w:t>
      </w:r>
      <w:r w:rsidR="00512857">
        <w:rPr>
          <w:sz w:val="22"/>
          <w:szCs w:val="22"/>
        </w:rPr>
        <w:t xml:space="preserve"> decisione informata.</w:t>
      </w:r>
    </w:p>
    <w:p w:rsidR="00C86CFF" w:rsidRPr="00C86CFF" w:rsidRDefault="00C86CFF" w:rsidP="00C86CFF">
      <w:pPr>
        <w:autoSpaceDE w:val="0"/>
        <w:autoSpaceDN w:val="0"/>
        <w:adjustRightInd w:val="0"/>
        <w:spacing w:before="120"/>
        <w:jc w:val="both"/>
        <w:rPr>
          <w:b/>
          <w:bCs/>
          <w:sz w:val="22"/>
          <w:szCs w:val="22"/>
          <w:u w:val="single"/>
        </w:rPr>
      </w:pPr>
      <w:r w:rsidRPr="00C86CFF">
        <w:rPr>
          <w:b/>
          <w:bCs/>
          <w:sz w:val="22"/>
          <w:szCs w:val="22"/>
          <w:u w:val="single"/>
        </w:rPr>
        <w:t>Sezione II – Regole supplementari per la distribuzione di prodotti di investimento assicurativi</w:t>
      </w:r>
      <w:r w:rsidR="0098543B">
        <w:rPr>
          <w:rStyle w:val="Rimandonotaapidipagina"/>
          <w:b/>
          <w:bCs/>
          <w:sz w:val="22"/>
          <w:szCs w:val="22"/>
          <w:u w:val="single"/>
        </w:rPr>
        <w:footnoteReference w:id="1"/>
      </w:r>
    </w:p>
    <w:p w:rsidR="00C86CFF" w:rsidRPr="00C86CFF" w:rsidRDefault="00C86CFF" w:rsidP="00C86CFF">
      <w:pPr>
        <w:autoSpaceDE w:val="0"/>
        <w:autoSpaceDN w:val="0"/>
        <w:adjustRightInd w:val="0"/>
        <w:spacing w:before="120"/>
        <w:jc w:val="both"/>
        <w:rPr>
          <w:sz w:val="22"/>
          <w:szCs w:val="22"/>
        </w:rPr>
      </w:pPr>
      <w:r w:rsidRPr="00C86CFF">
        <w:rPr>
          <w:sz w:val="22"/>
          <w:szCs w:val="22"/>
        </w:rPr>
        <w:t>a. prima della sottoscrizione di ciascuna proposta di assicurazione o, qualora non prevista, del contratto, obbligo di consegna/trasmissione al contraente copia dell’Allegato 4-bis al Regolamento IVASS n. 40 del 2 agosto 2018</w:t>
      </w:r>
    </w:p>
    <w:p w:rsidR="00C86CFF" w:rsidRPr="00C86CFF" w:rsidRDefault="00C86CFF" w:rsidP="00C86CFF">
      <w:pPr>
        <w:autoSpaceDE w:val="0"/>
        <w:autoSpaceDN w:val="0"/>
        <w:adjustRightInd w:val="0"/>
        <w:spacing w:before="120"/>
        <w:jc w:val="both"/>
        <w:rPr>
          <w:sz w:val="22"/>
          <w:szCs w:val="22"/>
        </w:rPr>
      </w:pPr>
      <w:r w:rsidRPr="00C86CFF">
        <w:rPr>
          <w:sz w:val="22"/>
          <w:szCs w:val="22"/>
        </w:rPr>
        <w:t>b. obbligo di valutare l’adeguatezza oppure l’appropriatezza del prodotto di investimento assicurativo proposto</w:t>
      </w:r>
    </w:p>
    <w:p w:rsidR="00C86CFF" w:rsidRPr="00C86CFF" w:rsidRDefault="00C86CFF" w:rsidP="00C86CFF">
      <w:pPr>
        <w:autoSpaceDE w:val="0"/>
        <w:autoSpaceDN w:val="0"/>
        <w:adjustRightInd w:val="0"/>
        <w:spacing w:before="120"/>
        <w:jc w:val="both"/>
        <w:rPr>
          <w:sz w:val="22"/>
          <w:szCs w:val="22"/>
        </w:rPr>
      </w:pPr>
      <w:r w:rsidRPr="00C86CFF">
        <w:rPr>
          <w:sz w:val="22"/>
          <w:szCs w:val="22"/>
        </w:rPr>
        <w:t>c. 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rsidR="00C86CFF" w:rsidRPr="00C86CFF" w:rsidRDefault="00C86CFF" w:rsidP="00C86CFF">
      <w:pPr>
        <w:autoSpaceDE w:val="0"/>
        <w:autoSpaceDN w:val="0"/>
        <w:adjustRightInd w:val="0"/>
        <w:spacing w:before="120"/>
        <w:jc w:val="both"/>
        <w:rPr>
          <w:sz w:val="22"/>
          <w:szCs w:val="22"/>
        </w:rPr>
      </w:pPr>
      <w:r w:rsidRPr="00C86CFF">
        <w:rPr>
          <w:sz w:val="22"/>
          <w:szCs w:val="22"/>
        </w:rPr>
        <w:t>d. in caso di vendita senza consulenza di un prodotto di investimento assicurativo, obbligo di informare il contraente se il prodotto è inappropriato, dandone evidenza in un’apposita dichiarazione</w:t>
      </w:r>
    </w:p>
    <w:p w:rsidR="00C86CFF" w:rsidRPr="00C86CFF" w:rsidRDefault="00C86CFF" w:rsidP="00C86CFF">
      <w:pPr>
        <w:autoSpaceDE w:val="0"/>
        <w:autoSpaceDN w:val="0"/>
        <w:adjustRightInd w:val="0"/>
        <w:spacing w:before="120"/>
        <w:jc w:val="both"/>
        <w:rPr>
          <w:sz w:val="22"/>
          <w:szCs w:val="22"/>
        </w:rPr>
      </w:pPr>
      <w:r w:rsidRPr="00C86CFF">
        <w:rPr>
          <w:sz w:val="22"/>
          <w:szCs w:val="22"/>
        </w:rPr>
        <w:t>e. 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rsidR="00C86CFF" w:rsidRDefault="00C86CFF" w:rsidP="00C86CFF">
      <w:pPr>
        <w:autoSpaceDE w:val="0"/>
        <w:autoSpaceDN w:val="0"/>
        <w:adjustRightInd w:val="0"/>
        <w:spacing w:before="120"/>
        <w:jc w:val="both"/>
        <w:rPr>
          <w:sz w:val="22"/>
          <w:szCs w:val="22"/>
        </w:rPr>
      </w:pPr>
      <w:r w:rsidRPr="00C86CFF">
        <w:rPr>
          <w:sz w:val="22"/>
          <w:szCs w:val="22"/>
        </w:rPr>
        <w:t>f. obbligo di fornire le informazioni di cui all’articolo 121-sexies, commi 1 e 2, del Codice</w:t>
      </w: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986A4A" w:rsidRDefault="00986A4A" w:rsidP="00986A4A">
      <w:pPr>
        <w:pStyle w:val="Corpodeltesto2"/>
        <w:autoSpaceDE w:val="0"/>
        <w:autoSpaceDN w:val="0"/>
        <w:adjustRightInd w:val="0"/>
        <w:spacing w:before="120"/>
      </w:pPr>
    </w:p>
    <w:p w:rsidR="006862BE" w:rsidRDefault="0002125A"/>
    <w:sectPr w:rsidR="006862BE" w:rsidSect="00FC3D6D">
      <w:headerReference w:type="defaul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5A" w:rsidRDefault="0002125A" w:rsidP="0098543B">
      <w:r>
        <w:separator/>
      </w:r>
    </w:p>
  </w:endnote>
  <w:endnote w:type="continuationSeparator" w:id="0">
    <w:p w:rsidR="0002125A" w:rsidRDefault="0002125A" w:rsidP="0098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B Office">
    <w:altName w:val="Arial"/>
    <w:charset w:val="00"/>
    <w:family w:val="swiss"/>
    <w:pitch w:val="variable"/>
    <w:sig w:usb0="00000001" w:usb1="1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5A" w:rsidRDefault="0002125A" w:rsidP="0098543B">
      <w:r>
        <w:separator/>
      </w:r>
    </w:p>
  </w:footnote>
  <w:footnote w:type="continuationSeparator" w:id="0">
    <w:p w:rsidR="0002125A" w:rsidRDefault="0002125A" w:rsidP="0098543B">
      <w:r>
        <w:continuationSeparator/>
      </w:r>
    </w:p>
  </w:footnote>
  <w:footnote w:id="1">
    <w:p w:rsidR="0098543B" w:rsidRDefault="0098543B">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A1" w:rsidRDefault="006F2DA1" w:rsidP="006F2DA1">
    <w:pPr>
      <w:ind w:left="7080" w:right="-8" w:firstLine="708"/>
    </w:pPr>
    <w:r>
      <w:rPr>
        <w:b/>
      </w:rPr>
      <w:t>Allegato 4 TER</w:t>
    </w:r>
  </w:p>
  <w:tbl>
    <w:tblPr>
      <w:tblW w:w="0" w:type="auto"/>
      <w:tblLook w:val="04A0"/>
    </w:tblPr>
    <w:tblGrid>
      <w:gridCol w:w="6362"/>
      <w:gridCol w:w="3486"/>
    </w:tblGrid>
    <w:tr w:rsidR="006F2DA1" w:rsidRPr="009860E0" w:rsidTr="006F2DA1">
      <w:tc>
        <w:tcPr>
          <w:tcW w:w="6362" w:type="dxa"/>
        </w:tcPr>
        <w:p w:rsidR="006F2DA1" w:rsidRPr="009860E0" w:rsidRDefault="006F2DA1" w:rsidP="0026160A">
          <w:pPr>
            <w:pStyle w:val="Intestazione"/>
            <w:tabs>
              <w:tab w:val="clear" w:pos="4819"/>
              <w:tab w:val="clear" w:pos="9638"/>
              <w:tab w:val="left" w:pos="1620"/>
            </w:tabs>
          </w:pPr>
          <w:r>
            <w:rPr>
              <w:rFonts w:ascii="Calibri" w:hAnsi="Calibri"/>
              <w:noProof/>
              <w:color w:val="1F497D"/>
              <w:sz w:val="22"/>
              <w:szCs w:val="22"/>
            </w:rPr>
            <w:drawing>
              <wp:inline distT="0" distB="0" distL="0" distR="0">
                <wp:extent cx="3009900" cy="552450"/>
                <wp:effectExtent l="19050" t="0" r="0" b="0"/>
                <wp:docPr id="1" name="Immagine 1" descr="Assi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idelta"/>
                        <pic:cNvPicPr>
                          <a:picLocks noChangeAspect="1" noChangeArrowheads="1"/>
                        </pic:cNvPicPr>
                      </pic:nvPicPr>
                      <pic:blipFill>
                        <a:blip r:embed="rId1" r:link="rId2"/>
                        <a:srcRect/>
                        <a:stretch>
                          <a:fillRect/>
                        </a:stretch>
                      </pic:blipFill>
                      <pic:spPr bwMode="auto">
                        <a:xfrm>
                          <a:off x="0" y="0"/>
                          <a:ext cx="3009900" cy="552450"/>
                        </a:xfrm>
                        <a:prstGeom prst="rect">
                          <a:avLst/>
                        </a:prstGeom>
                        <a:noFill/>
                        <a:ln w="9525">
                          <a:noFill/>
                          <a:miter lim="800000"/>
                          <a:headEnd/>
                          <a:tailEnd/>
                        </a:ln>
                      </pic:spPr>
                    </pic:pic>
                  </a:graphicData>
                </a:graphic>
              </wp:inline>
            </w:drawing>
          </w:r>
          <w:r w:rsidRPr="009860E0">
            <w:t xml:space="preserve"> </w:t>
          </w:r>
        </w:p>
      </w:tc>
      <w:tc>
        <w:tcPr>
          <w:tcW w:w="3486" w:type="dxa"/>
        </w:tcPr>
        <w:p w:rsidR="006F2DA1" w:rsidRPr="009860E0" w:rsidRDefault="006F2DA1" w:rsidP="0026160A">
          <w:pPr>
            <w:rPr>
              <w:rFonts w:ascii="DB Office" w:hAnsi="DB Office"/>
            </w:rPr>
          </w:pPr>
          <w:r>
            <w:rPr>
              <w:rFonts w:ascii="Arial" w:hAnsi="Arial" w:cs="Arial"/>
              <w:noProof/>
              <w:sz w:val="20"/>
            </w:rPr>
            <w:drawing>
              <wp:inline distT="0" distB="0" distL="0" distR="0">
                <wp:extent cx="2057400" cy="7048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057400" cy="704850"/>
                        </a:xfrm>
                        <a:prstGeom prst="rect">
                          <a:avLst/>
                        </a:prstGeom>
                        <a:noFill/>
                        <a:ln w="9525">
                          <a:noFill/>
                          <a:miter lim="800000"/>
                          <a:headEnd/>
                          <a:tailEnd/>
                        </a:ln>
                      </pic:spPr>
                    </pic:pic>
                  </a:graphicData>
                </a:graphic>
              </wp:inline>
            </w:drawing>
          </w:r>
        </w:p>
        <w:p w:rsidR="006F2DA1" w:rsidRPr="009860E0" w:rsidRDefault="006F2DA1" w:rsidP="0026160A">
          <w:pPr>
            <w:pStyle w:val="Intestazione"/>
            <w:tabs>
              <w:tab w:val="left" w:pos="7230"/>
            </w:tabs>
            <w:jc w:val="center"/>
          </w:pPr>
        </w:p>
      </w:tc>
    </w:tr>
  </w:tbl>
  <w:p w:rsidR="006F2DA1" w:rsidRDefault="006F2DA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0A7B"/>
    <w:multiLevelType w:val="hybridMultilevel"/>
    <w:tmpl w:val="BAA01FC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279280D"/>
    <w:multiLevelType w:val="hybridMultilevel"/>
    <w:tmpl w:val="92AE8BEE"/>
    <w:lvl w:ilvl="0" w:tplc="0410000F">
      <w:start w:val="1"/>
      <w:numFmt w:val="decimal"/>
      <w:lvlText w:val="%1."/>
      <w:lvlJc w:val="left"/>
      <w:pPr>
        <w:tabs>
          <w:tab w:val="num" w:pos="927"/>
        </w:tabs>
        <w:ind w:left="927" w:hanging="360"/>
      </w:pPr>
      <w:rPr>
        <w:rFonts w:hint="default"/>
      </w:rPr>
    </w:lvl>
    <w:lvl w:ilvl="1" w:tplc="824C18BC">
      <w:start w:val="1"/>
      <w:numFmt w:val="bullet"/>
      <w:lvlText w:val=""/>
      <w:lvlJc w:val="left"/>
      <w:pPr>
        <w:tabs>
          <w:tab w:val="num" w:pos="1440"/>
        </w:tabs>
        <w:ind w:left="1363" w:hanging="283"/>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86A4A"/>
    <w:rsid w:val="0000012F"/>
    <w:rsid w:val="000031C4"/>
    <w:rsid w:val="0002125A"/>
    <w:rsid w:val="0009666F"/>
    <w:rsid w:val="002246DD"/>
    <w:rsid w:val="00232372"/>
    <w:rsid w:val="002A1568"/>
    <w:rsid w:val="002B4AB8"/>
    <w:rsid w:val="002C5D2E"/>
    <w:rsid w:val="002D2E69"/>
    <w:rsid w:val="003F5E4D"/>
    <w:rsid w:val="004302D8"/>
    <w:rsid w:val="004972F5"/>
    <w:rsid w:val="004F5251"/>
    <w:rsid w:val="00512857"/>
    <w:rsid w:val="0052158D"/>
    <w:rsid w:val="00615D54"/>
    <w:rsid w:val="0064292D"/>
    <w:rsid w:val="00664E4E"/>
    <w:rsid w:val="006F2DA1"/>
    <w:rsid w:val="00767DFC"/>
    <w:rsid w:val="0077234B"/>
    <w:rsid w:val="00841453"/>
    <w:rsid w:val="00843309"/>
    <w:rsid w:val="00864F56"/>
    <w:rsid w:val="00935321"/>
    <w:rsid w:val="00937CFA"/>
    <w:rsid w:val="0096679D"/>
    <w:rsid w:val="009830A1"/>
    <w:rsid w:val="0098543B"/>
    <w:rsid w:val="00986A4A"/>
    <w:rsid w:val="009C07FB"/>
    <w:rsid w:val="00A50DCD"/>
    <w:rsid w:val="00A74B9A"/>
    <w:rsid w:val="00B40553"/>
    <w:rsid w:val="00BD316C"/>
    <w:rsid w:val="00C86CFF"/>
    <w:rsid w:val="00C92BDB"/>
    <w:rsid w:val="00CE07F8"/>
    <w:rsid w:val="00D11447"/>
    <w:rsid w:val="00D67D80"/>
    <w:rsid w:val="00E62E8E"/>
    <w:rsid w:val="00FA727B"/>
    <w:rsid w:val="00FC3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4A"/>
    <w:rPr>
      <w:rFonts w:ascii="Times" w:eastAsia="Times" w:hAnsi="Times" w:cs="Times New Roman"/>
      <w:szCs w:val="20"/>
      <w:lang w:eastAsia="it-IT"/>
    </w:rPr>
  </w:style>
  <w:style w:type="paragraph" w:styleId="Titolo2">
    <w:name w:val="heading 2"/>
    <w:basedOn w:val="Normale"/>
    <w:next w:val="Normale"/>
    <w:link w:val="Titolo2Carattere"/>
    <w:qFormat/>
    <w:rsid w:val="00986A4A"/>
    <w:pPr>
      <w:keepNext/>
      <w:ind w:left="426"/>
      <w:outlineLvl w:val="1"/>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86A4A"/>
    <w:rPr>
      <w:rFonts w:ascii="Times New Roman" w:eastAsia="Times" w:hAnsi="Times New Roman" w:cs="Times New Roman"/>
      <w:b/>
      <w:szCs w:val="20"/>
      <w:lang w:eastAsia="it-IT"/>
    </w:rPr>
  </w:style>
  <w:style w:type="paragraph" w:styleId="Corpodeltesto">
    <w:name w:val="Body Text"/>
    <w:basedOn w:val="Normale"/>
    <w:link w:val="CorpodeltestoCarattere"/>
    <w:rsid w:val="00986A4A"/>
    <w:pPr>
      <w:jc w:val="both"/>
    </w:pPr>
    <w:rPr>
      <w:rFonts w:ascii="Times New Roman" w:eastAsia="Times New Roman" w:hAnsi="Times New Roman"/>
      <w:sz w:val="20"/>
    </w:rPr>
  </w:style>
  <w:style w:type="character" w:customStyle="1" w:styleId="CorpodeltestoCarattere">
    <w:name w:val="Corpo del testo Carattere"/>
    <w:basedOn w:val="Carpredefinitoparagrafo"/>
    <w:link w:val="Corpodeltesto"/>
    <w:rsid w:val="00986A4A"/>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86A4A"/>
    <w:pPr>
      <w:jc w:val="both"/>
    </w:pPr>
    <w:rPr>
      <w:rFonts w:ascii="Times New Roman" w:hAnsi="Times New Roman"/>
      <w:b/>
    </w:rPr>
  </w:style>
  <w:style w:type="character" w:customStyle="1" w:styleId="Corpodeltesto2Carattere">
    <w:name w:val="Corpo del testo 2 Carattere"/>
    <w:basedOn w:val="Carpredefinitoparagrafo"/>
    <w:link w:val="Corpodeltesto2"/>
    <w:rsid w:val="00986A4A"/>
    <w:rPr>
      <w:rFonts w:ascii="Times New Roman" w:eastAsia="Times" w:hAnsi="Times New Roman" w:cs="Times New Roman"/>
      <w:b/>
      <w:szCs w:val="20"/>
      <w:lang w:eastAsia="it-IT"/>
    </w:rPr>
  </w:style>
  <w:style w:type="paragraph" w:styleId="Paragrafoelenco">
    <w:name w:val="List Paragraph"/>
    <w:basedOn w:val="Normale"/>
    <w:uiPriority w:val="34"/>
    <w:qFormat/>
    <w:rsid w:val="00C86CFF"/>
    <w:pPr>
      <w:ind w:left="720"/>
      <w:contextualSpacing/>
    </w:pPr>
  </w:style>
  <w:style w:type="paragraph" w:styleId="Testonotaapidipagina">
    <w:name w:val="footnote text"/>
    <w:basedOn w:val="Normale"/>
    <w:link w:val="TestonotaapidipaginaCarattere"/>
    <w:uiPriority w:val="99"/>
    <w:unhideWhenUsed/>
    <w:rsid w:val="0098543B"/>
    <w:rPr>
      <w:szCs w:val="24"/>
    </w:rPr>
  </w:style>
  <w:style w:type="character" w:customStyle="1" w:styleId="TestonotaapidipaginaCarattere">
    <w:name w:val="Testo nota a piè di pagina Carattere"/>
    <w:basedOn w:val="Carpredefinitoparagrafo"/>
    <w:link w:val="Testonotaapidipagina"/>
    <w:uiPriority w:val="99"/>
    <w:rsid w:val="0098543B"/>
    <w:rPr>
      <w:rFonts w:ascii="Times" w:eastAsia="Times" w:hAnsi="Times" w:cs="Times New Roman"/>
      <w:lang w:eastAsia="it-IT"/>
    </w:rPr>
  </w:style>
  <w:style w:type="character" w:styleId="Rimandonotaapidipagina">
    <w:name w:val="footnote reference"/>
    <w:basedOn w:val="Carpredefinitoparagrafo"/>
    <w:uiPriority w:val="99"/>
    <w:unhideWhenUsed/>
    <w:rsid w:val="0098543B"/>
    <w:rPr>
      <w:vertAlign w:val="superscript"/>
    </w:rPr>
  </w:style>
  <w:style w:type="paragraph" w:styleId="Intestazione">
    <w:name w:val="header"/>
    <w:basedOn w:val="Normale"/>
    <w:link w:val="IntestazioneCarattere"/>
    <w:unhideWhenUsed/>
    <w:rsid w:val="006F2DA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2DA1"/>
    <w:rPr>
      <w:rFonts w:ascii="Times" w:eastAsia="Times" w:hAnsi="Times" w:cs="Times New Roman"/>
      <w:szCs w:val="20"/>
      <w:lang w:eastAsia="it-IT"/>
    </w:rPr>
  </w:style>
  <w:style w:type="paragraph" w:styleId="Pidipagina">
    <w:name w:val="footer"/>
    <w:basedOn w:val="Normale"/>
    <w:link w:val="PidipaginaCarattere"/>
    <w:uiPriority w:val="99"/>
    <w:semiHidden/>
    <w:unhideWhenUsed/>
    <w:rsid w:val="006F2DA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2DA1"/>
    <w:rPr>
      <w:rFonts w:ascii="Times" w:eastAsia="Times" w:hAnsi="Times" w:cs="Times New Roman"/>
      <w:szCs w:val="20"/>
      <w:lang w:eastAsia="it-IT"/>
    </w:rPr>
  </w:style>
  <w:style w:type="paragraph" w:styleId="Testofumetto">
    <w:name w:val="Balloon Text"/>
    <w:basedOn w:val="Normale"/>
    <w:link w:val="TestofumettoCarattere"/>
    <w:uiPriority w:val="99"/>
    <w:semiHidden/>
    <w:unhideWhenUsed/>
    <w:rsid w:val="006F2D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DA1"/>
    <w:rPr>
      <w:rFonts w:ascii="Tahoma" w:eastAsia="Times" w:hAnsi="Tahoma" w:cs="Tahoma"/>
      <w:sz w:val="16"/>
      <w:szCs w:val="16"/>
      <w:lang w:eastAsia="it-IT"/>
    </w:rPr>
  </w:style>
  <w:style w:type="paragraph" w:styleId="Nessunaspaziatura">
    <w:name w:val="No Spacing"/>
    <w:uiPriority w:val="1"/>
    <w:qFormat/>
    <w:rsid w:val="009830A1"/>
    <w:rPr>
      <w:rFonts w:ascii="Calibri" w:eastAsia="Calibri" w:hAnsi="Calibri" w:cs="Times New Roman"/>
      <w:sz w:val="22"/>
      <w:szCs w:val="22"/>
    </w:rPr>
  </w:style>
  <w:style w:type="character" w:styleId="Collegamentoipertestuale">
    <w:name w:val="Hyperlink"/>
    <w:basedOn w:val="Carpredefinitoparagrafo"/>
    <w:rsid w:val="009830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sideltabrok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sideltabroker.com" TargetMode="External"/><Relationship Id="rId4" Type="http://schemas.openxmlformats.org/officeDocument/2006/relationships/settings" Target="settings.xml"/><Relationship Id="rId9" Type="http://schemas.openxmlformats.org/officeDocument/2006/relationships/hyperlink" Target="mailto:assideltabroker@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6593C.C09F8D4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4C3AEA-5EE8-4F19-A37E-A8B8D138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At</dc:creator>
  <cp:lastModifiedBy>dario.amoroso</cp:lastModifiedBy>
  <cp:revision>4</cp:revision>
  <cp:lastPrinted>2021-04-07T08:15:00Z</cp:lastPrinted>
  <dcterms:created xsi:type="dcterms:W3CDTF">2021-03-17T13:56:00Z</dcterms:created>
  <dcterms:modified xsi:type="dcterms:W3CDTF">2021-04-07T14:17:00Z</dcterms:modified>
</cp:coreProperties>
</file>